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AB7AFA" w:rsidTr="00AB7AFA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B7AFA" w:rsidRDefault="00AB7A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AB7AFA" w:rsidTr="00AB7AF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B7AFA" w:rsidRDefault="00A874C9" w:rsidP="00A874C9">
            <w:pPr>
              <w:pStyle w:val="a4"/>
              <w:jc w:val="center"/>
              <w:rPr>
                <w:b/>
                <w:sz w:val="28"/>
                <w:szCs w:val="28"/>
                <w:u w:val="single"/>
              </w:rPr>
            </w:pPr>
            <w:proofErr w:type="gramStart"/>
            <w:r w:rsidRPr="00A874C9">
              <w:rPr>
                <w:b/>
                <w:szCs w:val="30"/>
                <w:u w:val="single"/>
              </w:rPr>
              <w:t>О</w:t>
            </w:r>
            <w:r w:rsidRPr="00A874C9">
              <w:rPr>
                <w:b/>
                <w:u w:val="single"/>
              </w:rPr>
              <w:t xml:space="preserve"> разрешении отчуждения одноквартирного жилого дома, квартиры в многоквартирном или блокированном жилом доме (далее в настоящем подпункте, подпунктах 1.1.28, 1.1.31 и 1.1.32 настоящего пункта, пунктах 1.6 и 1.6</w:t>
            </w:r>
            <w:r w:rsidRPr="00A874C9">
              <w:rPr>
                <w:b/>
                <w:u w:val="single"/>
                <w:vertAlign w:val="superscript"/>
              </w:rPr>
              <w:t>1</w:t>
            </w:r>
            <w:r w:rsidRPr="00A874C9">
              <w:rPr>
                <w:b/>
                <w:u w:val="single"/>
              </w:rPr>
              <w:t>, подпункте 2.47.1 пункта 2.47 настоящего перечня – жилое помещение), а также объекта недвижимости, образованного в результате его раздела или слияния, незавершенного законсервированного капитального строения, долей в праве собственности на указанные объекты, построенные (реконструированные</w:t>
            </w:r>
            <w:proofErr w:type="gramEnd"/>
            <w:r w:rsidRPr="00A874C9">
              <w:rPr>
                <w:b/>
                <w:u w:val="single"/>
              </w:rPr>
              <w:t xml:space="preserve">) </w:t>
            </w:r>
            <w:proofErr w:type="gramStart"/>
            <w:r w:rsidRPr="00A874C9">
              <w:rPr>
                <w:b/>
                <w:u w:val="single"/>
              </w:rPr>
              <w:t>или приобретенные с использованием льготного кредита либо построенные (реконструированные) с использованием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кредиту), выданным банками на их строительство (реконструкцию) в установленном порядке (купля-продажа, дарение, мена либо иная сделка об отчуждении в течение пяти лет со дня досрочного погашения</w:t>
            </w:r>
            <w:proofErr w:type="gramEnd"/>
            <w:r w:rsidRPr="00A874C9">
              <w:rPr>
                <w:b/>
                <w:u w:val="single"/>
              </w:rPr>
              <w:t xml:space="preserve"> этих кредитов, но не более периода, оставшегося до наступления срока их полного погашения, установленного кредитными договорами, либо дарение или мена до погашения этих кредитов), в случаях, когда необходимость получения такого разрешения предусмотрена законодательными актами, регулирующими вопросы предоставления гражданам государственной поддержки при строительстве (реконструкции) или приобретении жилых помещений</w:t>
            </w:r>
            <w:r>
              <w:rPr>
                <w:b/>
                <w:u w:val="single"/>
              </w:rPr>
              <w:t xml:space="preserve">  </w:t>
            </w:r>
            <w:r w:rsidR="00AB7AFA">
              <w:rPr>
                <w:b/>
                <w:sz w:val="28"/>
                <w:szCs w:val="28"/>
                <w:u w:val="single"/>
              </w:rPr>
              <w:t>(1.1.2.)</w:t>
            </w:r>
          </w:p>
        </w:tc>
      </w:tr>
      <w:tr w:rsidR="00AB7AFA" w:rsidTr="00AB7AF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B7AFA" w:rsidRDefault="00AB7AFA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AB7AFA" w:rsidTr="00AB7AF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B7AFA" w:rsidRDefault="00AB7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AB7AFA" w:rsidTr="00AB7AF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B7AFA" w:rsidRDefault="00AB7A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AB7AFA" w:rsidTr="00AB7AF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B7AFA" w:rsidRDefault="00AB7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AB7AFA" w:rsidRDefault="00AB7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</w:p>
        </w:tc>
      </w:tr>
      <w:tr w:rsidR="00AB7AFA" w:rsidTr="00AB7AF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B7AFA" w:rsidRDefault="00AB7AFA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AB7AFA" w:rsidTr="00AB7AF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B7AFA" w:rsidRDefault="00AB7AF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AB7AFA" w:rsidRDefault="00AB7AF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AB7AFA" w:rsidRDefault="00AB7AF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AB7AFA" w:rsidRDefault="00AB7AFA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  <w:tr w:rsidR="00AB7AFA" w:rsidTr="00AB7AF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B7AFA" w:rsidRDefault="00AB7A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AB7AFA" w:rsidTr="00AB7AF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B7AFA" w:rsidRDefault="00AB7AFA" w:rsidP="007A53EB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заявление</w:t>
            </w:r>
          </w:p>
          <w:p w:rsidR="00AB7AFA" w:rsidRDefault="00A874C9" w:rsidP="007A3950">
            <w:pPr>
              <w:numPr>
                <w:ilvl w:val="0"/>
                <w:numId w:val="1"/>
              </w:numPr>
              <w:tabs>
                <w:tab w:val="clear" w:pos="720"/>
                <w:tab w:val="num" w:pos="460"/>
              </w:tabs>
              <w:spacing w:after="0" w:line="240" w:lineRule="auto"/>
              <w:ind w:left="460" w:hanging="284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A874C9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паспорта граждан Республики Беларусь (далее – паспорта) или иные документы, удостоверяющие личность всех членов семьи, совместно проживающих с собственником</w:t>
            </w:r>
          </w:p>
          <w:p w:rsidR="00AB7AFA" w:rsidRDefault="007A3950" w:rsidP="007A3950">
            <w:pPr>
              <w:numPr>
                <w:ilvl w:val="0"/>
                <w:numId w:val="1"/>
              </w:numPr>
              <w:tabs>
                <w:tab w:val="clear" w:pos="720"/>
                <w:tab w:val="num" w:pos="460"/>
              </w:tabs>
              <w:spacing w:after="0" w:line="240" w:lineRule="auto"/>
              <w:ind w:left="460" w:hanging="284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gramStart"/>
            <w:r w:rsidRPr="007A395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письменное согласие супруга (супруги), а также иных </w:t>
            </w:r>
            <w:bookmarkStart w:id="0" w:name="_GoBack"/>
            <w:bookmarkEnd w:id="0"/>
            <w:r w:rsidRPr="007A395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совершеннолетних членов семьи, совместно проживающих с собственником и имеющих право владения и пользования жилым помещением, а также отсутствующих граждан, за которыми сохраняется право владения и пользования жилым помещением, удостоверенное нотариусом либо другим должностным лицом, </w:t>
            </w:r>
            <w:r w:rsidRPr="007A395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lastRenderedPageBreak/>
              <w:t>имеющим право совершать такое нотариальное действие (далее – удостоверенное нотариально), а в случае отчуждения незавершенного законсервированного капитального строения – письменное согласие</w:t>
            </w:r>
            <w:proofErr w:type="gramEnd"/>
            <w:r w:rsidRPr="007A395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супруга (супруги)</w:t>
            </w:r>
            <w:r w:rsidR="00AB7AFA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</w:p>
          <w:p w:rsidR="00AB7AFA" w:rsidRDefault="00AB7AFA" w:rsidP="007A53EB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технический паспорт и документ, подтверждающий право собственности на жилое помещение, объект недвижимости, образованный в результате его раздела или слияния, незавершенное законсервированное капитальное строение, долю в праве собственности на указанные объекты </w:t>
            </w:r>
          </w:p>
          <w:p w:rsidR="00AB7AFA" w:rsidRDefault="00AB7AFA" w:rsidP="007A53EB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документы, подтверждающие основания отчуждения жилого помещения, объекта недвижимости, образованного в результате его раздела или слияния, незавершенного законсервированного капитального строения,  доли в праве собственности на указанные объекты (перее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зд в др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угую местность, расторжение брака, смерть собственника жилого помещения и иные)</w:t>
            </w:r>
          </w:p>
          <w:p w:rsidR="00AB7AFA" w:rsidRDefault="00AB7AFA" w:rsidP="007A53EB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документ, подтверждающий погашение льготного кредита на строительство (реконструкцию) или приобретение жилого помещения (в случае необходимости подтверждения указанного факта) </w:t>
            </w:r>
          </w:p>
        </w:tc>
      </w:tr>
      <w:tr w:rsidR="00AB7AFA" w:rsidTr="00AB7AF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B7AFA" w:rsidRDefault="00AB7A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lastRenderedPageBreak/>
              <w:t xml:space="preserve">Размер платы, взимаемой за осуществление административной процедуры </w:t>
            </w:r>
          </w:p>
        </w:tc>
      </w:tr>
      <w:tr w:rsidR="00AB7AFA" w:rsidTr="00AB7AF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B7AFA" w:rsidRDefault="00AB7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AB7AFA" w:rsidTr="00AB7AF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B7AFA" w:rsidRDefault="00AB7A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AB7AFA" w:rsidTr="00AB7AF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B7AFA" w:rsidRDefault="00AB7A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 – 1 месяц</w:t>
            </w:r>
          </w:p>
        </w:tc>
      </w:tr>
      <w:tr w:rsidR="00AB7AFA" w:rsidTr="00AB7AF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B7AFA" w:rsidRDefault="00AB7AFA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AB7AFA" w:rsidTr="00AB7AFA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AB7AFA" w:rsidRDefault="00AB7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бессрочно</w:t>
            </w:r>
          </w:p>
        </w:tc>
      </w:tr>
    </w:tbl>
    <w:p w:rsidR="00AB7AFA" w:rsidRDefault="00AB7AFA" w:rsidP="00AB7AFA">
      <w:pPr>
        <w:spacing w:after="0" w:line="240" w:lineRule="auto"/>
        <w:ind w:firstLine="240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0"/>
        <w:gridCol w:w="3620"/>
      </w:tblGrid>
      <w:tr w:rsidR="00AB7AFA" w:rsidTr="00AB7AFA">
        <w:trPr>
          <w:trHeight w:val="1228"/>
          <w:tblCellSpacing w:w="20" w:type="dxa"/>
        </w:trPr>
        <w:tc>
          <w:tcPr>
            <w:tcW w:w="97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AB7AFA" w:rsidRDefault="00AB7AFA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lastRenderedPageBreak/>
              <w:t xml:space="preserve">Иные документы, необходимые для выполнения административной процедуры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1.1.2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 xml:space="preserve">запрашиваемые  службой «одно окно» </w:t>
            </w:r>
          </w:p>
          <w:p w:rsidR="00AB7AFA" w:rsidRDefault="00AB7AFA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 xml:space="preserve">(в соответствии с Решением Витебского областного исполнительного комитета от 30.04.2015 г. №267) </w:t>
            </w:r>
          </w:p>
        </w:tc>
      </w:tr>
      <w:tr w:rsidR="00AB7AFA" w:rsidTr="00AB7AFA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AFA" w:rsidRDefault="00AB7AFA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/п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AFA" w:rsidRDefault="00AB7AFA">
            <w:pPr>
              <w:keepNext/>
              <w:spacing w:after="0" w:line="240" w:lineRule="auto"/>
              <w:ind w:right="72"/>
              <w:jc w:val="center"/>
              <w:outlineLvl w:val="5"/>
              <w:rPr>
                <w:rFonts w:ascii="Times New Roman" w:eastAsia="Times New Roman" w:hAnsi="Times New Roman"/>
                <w:color w:val="000000"/>
                <w:spacing w:val="-3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 w:val="30"/>
                <w:szCs w:val="32"/>
                <w:lang w:eastAsia="ru-RU"/>
              </w:rPr>
              <w:t>Наименование документа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AFA" w:rsidRDefault="00AB7AFA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>Государственный орган (</w:t>
            </w:r>
            <w:r>
              <w:rPr>
                <w:rFonts w:ascii="Times New Roman" w:eastAsia="Times New Roman" w:hAnsi="Times New Roman"/>
                <w:color w:val="000000"/>
                <w:spacing w:val="-5"/>
                <w:sz w:val="30"/>
                <w:szCs w:val="32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AB7AFA" w:rsidTr="00AB7AFA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AFA" w:rsidRDefault="00AB7AF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1.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AFA" w:rsidRDefault="00AB7AFA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Справка о месте жительства и составе семьи или копия лицевого счета 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AFA" w:rsidRDefault="00AB7AFA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КПУП «Витебский областной расчетно-справочный центр» расчетный центр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олоцка</w:t>
            </w:r>
            <w:proofErr w:type="spellEnd"/>
          </w:p>
          <w:p w:rsidR="00AB7AFA" w:rsidRDefault="00AB7AFA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3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вердлова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, д.1</w:t>
            </w:r>
            <w:r>
              <w:rPr>
                <w:rFonts w:ascii="Times New Roman" w:eastAsia="Times New Roman" w:hAnsi="Times New Roman"/>
                <w:sz w:val="30"/>
                <w:szCs w:val="20"/>
                <w:u w:val="single"/>
                <w:lang w:eastAsia="ru-RU"/>
              </w:rPr>
              <w:t xml:space="preserve"> </w:t>
            </w:r>
          </w:p>
          <w:p w:rsidR="00AB7AFA" w:rsidRDefault="00AB7AFA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3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т. 46-01-02),</w:t>
            </w:r>
          </w:p>
          <w:p w:rsidR="00AB7AFA" w:rsidRDefault="00AB7AFA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Сельский Совет</w:t>
            </w:r>
          </w:p>
        </w:tc>
      </w:tr>
      <w:tr w:rsidR="00AB7AFA" w:rsidTr="00AB7AFA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AFA" w:rsidRDefault="00AB7AF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2.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AFA" w:rsidRDefault="00AB7AFA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Согласие открытого акционерного общества «Сберегательный банк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Беларусбанк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»» на дарение или мену жилого помещения, а также объекта недвижимости, образованного в результате его раздела или слияния, незавершенного законсервированного капитального строения, долей в праве собственности на указанные объекты, построенные (реконструированные) или приобретенные с привлечением льготного кредита  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AFA" w:rsidRDefault="00AB7AFA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3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u w:val="single"/>
                <w:lang w:eastAsia="ru-RU"/>
              </w:rPr>
              <w:t xml:space="preserve">филиал №216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20"/>
                <w:u w:val="single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20"/>
                <w:u w:val="single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20"/>
                <w:u w:val="single"/>
                <w:lang w:eastAsia="ru-RU"/>
              </w:rPr>
              <w:t>олоцка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20"/>
                <w:u w:val="single"/>
                <w:lang w:eastAsia="ru-RU"/>
              </w:rPr>
              <w:t xml:space="preserve"> АСБ «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20"/>
                <w:u w:val="single"/>
                <w:lang w:eastAsia="ru-RU"/>
              </w:rPr>
              <w:t>Беларусбанк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20"/>
                <w:u w:val="single"/>
                <w:lang w:eastAsia="ru-RU"/>
              </w:rPr>
              <w:t xml:space="preserve">» </w:t>
            </w:r>
          </w:p>
        </w:tc>
      </w:tr>
      <w:tr w:rsidR="00AB7AFA" w:rsidTr="00AB7AFA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AFA" w:rsidRDefault="00AB7AF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3.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AFA" w:rsidRDefault="00AB7AFA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Согласие органов опеки и попечительства (в случае проживания в жилом помещении несовершеннолетних, признанных находящимися в социально опасном положении либо признанных нуждающимися в государственной защите, или граждан, признанных недееспособными или ограниченных в дееспособности судом, или закрепления этого жилого помещения за детьми-сиротами или детьми, </w:t>
            </w: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lastRenderedPageBreak/>
              <w:t>оставшимися без попечения родителей)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AFA" w:rsidRDefault="00AB7AFA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3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u w:val="single"/>
                <w:lang w:eastAsia="ru-RU"/>
              </w:rPr>
              <w:lastRenderedPageBreak/>
              <w:t>Органы опеки и попечительства, ГУЗ «Полоцкая ЦГБ» или соответствующего го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20"/>
                <w:u w:val="single"/>
                <w:lang w:eastAsia="ru-RU"/>
              </w:rPr>
              <w:t>р(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20"/>
                <w:u w:val="single"/>
                <w:lang w:eastAsia="ru-RU"/>
              </w:rPr>
              <w:t xml:space="preserve">рай)исполкома в случае отчуждения жилого помещения, занимаемого недееспособным гражданином, находящегося на территории другого </w:t>
            </w:r>
            <w:r>
              <w:rPr>
                <w:rFonts w:ascii="Times New Roman" w:eastAsia="Times New Roman" w:hAnsi="Times New Roman"/>
                <w:sz w:val="30"/>
                <w:szCs w:val="20"/>
                <w:u w:val="single"/>
                <w:lang w:eastAsia="ru-RU"/>
              </w:rPr>
              <w:lastRenderedPageBreak/>
              <w:t xml:space="preserve">населенного пункта; от соответствующего гор(рай)исполкома в случае отчуждения жилого помещения, в котором проживают несовершеннолетние члены семьи заявителя (либо которое занимает несовершеннолетний ребенок), находящегося на территории другого населенного пункта). </w:t>
            </w:r>
          </w:p>
        </w:tc>
      </w:tr>
    </w:tbl>
    <w:p w:rsidR="00AB7AFA" w:rsidRDefault="00AB7AFA" w:rsidP="00AB7A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AB7AFA" w:rsidRDefault="00AB7AFA" w:rsidP="00AB7A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Гражданин имеет право </w:t>
      </w:r>
      <w:proofErr w:type="gramStart"/>
      <w:r>
        <w:rPr>
          <w:rFonts w:ascii="Times New Roman" w:eastAsia="Times New Roman" w:hAnsi="Times New Roman"/>
          <w:sz w:val="30"/>
          <w:szCs w:val="30"/>
          <w:lang w:eastAsia="ru-RU"/>
        </w:rPr>
        <w:t>предоставить указанные документы</w:t>
      </w:r>
      <w:proofErr w:type="gramEnd"/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30"/>
          <w:szCs w:val="30"/>
          <w:lang w:eastAsia="ru-RU"/>
        </w:rPr>
        <w:t>самостоятельно</w:t>
      </w:r>
    </w:p>
    <w:p w:rsidR="00AB7AFA" w:rsidRDefault="00AB7AFA" w:rsidP="00AB7A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AB7AFA" w:rsidRDefault="00AB7AFA" w:rsidP="00AB7A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AB7AFA" w:rsidRDefault="00AB7AFA" w:rsidP="00AB7A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AB7AFA" w:rsidRDefault="00AB7AFA" w:rsidP="00AB7A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AB7AFA" w:rsidRDefault="00AB7AFA" w:rsidP="00AB7A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AB7AFA" w:rsidRDefault="00AB7AFA" w:rsidP="00AB7A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AB7AFA" w:rsidRDefault="00AB7AFA" w:rsidP="00AB7A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AB7AFA" w:rsidRDefault="00AB7AFA" w:rsidP="00AB7A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AB7AFA" w:rsidRDefault="00AB7AFA" w:rsidP="00AB7A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AB7AFA" w:rsidRDefault="00AB7AFA" w:rsidP="00AB7A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AB7AFA" w:rsidRDefault="00AB7AFA" w:rsidP="00AB7A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AB7AFA" w:rsidRDefault="00AB7AFA" w:rsidP="00AB7A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AB7AFA" w:rsidRDefault="00AB7AFA" w:rsidP="00AB7A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AB7AFA" w:rsidRDefault="00AB7AFA" w:rsidP="00AB7A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AB7AFA" w:rsidRDefault="00AB7AFA" w:rsidP="00AB7A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AB7AFA" w:rsidRDefault="00AB7AFA" w:rsidP="00AB7A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AB7AFA" w:rsidRDefault="00AB7AFA" w:rsidP="00AB7A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AB7AFA" w:rsidRDefault="00AB7AFA" w:rsidP="00AB7A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AB7AFA" w:rsidRDefault="00AB7AFA" w:rsidP="00AB7A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AB7AFA" w:rsidRDefault="00AB7AFA" w:rsidP="00AB7A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AB7AFA" w:rsidRDefault="00AB7AFA" w:rsidP="00AB7A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AB7AFA" w:rsidRDefault="00AB7AFA" w:rsidP="00AB7A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AB7AFA" w:rsidRDefault="00AB7AFA" w:rsidP="00AB7A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AB7AFA" w:rsidRDefault="00AB7AFA" w:rsidP="00AB7A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AB7AFA" w:rsidRDefault="00AB7AFA" w:rsidP="00AB7A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AB7AFA" w:rsidRDefault="00AB7AFA" w:rsidP="00AB7AFA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AB7AFA" w:rsidRDefault="00AB7AFA" w:rsidP="00AB7AFA">
      <w:pPr>
        <w:spacing w:after="0" w:line="240" w:lineRule="auto"/>
        <w:rPr>
          <w:rFonts w:ascii="Times New Roman" w:eastAsia="Times New Roman" w:hAnsi="Times New Roman"/>
          <w:sz w:val="30"/>
          <w:lang w:eastAsia="ru-RU"/>
        </w:rPr>
      </w:pPr>
      <w:r>
        <w:rPr>
          <w:rFonts w:ascii="Times New Roman" w:eastAsia="Times New Roman" w:hAnsi="Times New Roman"/>
          <w:sz w:val="30"/>
          <w:lang w:eastAsia="ru-RU"/>
        </w:rPr>
        <w:t xml:space="preserve">                                                       Полоцкий райисполком</w:t>
      </w:r>
    </w:p>
    <w:p w:rsidR="00AB7AFA" w:rsidRDefault="00AB7AFA" w:rsidP="00AB7AFA">
      <w:pPr>
        <w:spacing w:after="0" w:line="240" w:lineRule="auto"/>
        <w:rPr>
          <w:rFonts w:ascii="Times New Roman" w:eastAsia="Times New Roman" w:hAnsi="Times New Roman"/>
          <w:sz w:val="30"/>
          <w:lang w:eastAsia="ru-RU"/>
        </w:rPr>
      </w:pPr>
      <w:r>
        <w:rPr>
          <w:rFonts w:ascii="Times New Roman" w:eastAsia="Times New Roman" w:hAnsi="Times New Roman"/>
          <w:lang w:eastAsia="ru-RU"/>
        </w:rPr>
        <w:t>ЗАЯВЛЕНИЕ</w:t>
      </w:r>
    </w:p>
    <w:p w:rsidR="00AB7AFA" w:rsidRDefault="00AB7AFA" w:rsidP="00AB7AF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  <w:t xml:space="preserve">       __________________________________________</w:t>
      </w:r>
    </w:p>
    <w:p w:rsidR="00AB7AFA" w:rsidRDefault="00AB7AFA" w:rsidP="00AB7AFA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фамилия</w:t>
      </w:r>
    </w:p>
    <w:p w:rsidR="00AB7AFA" w:rsidRDefault="00AB7AFA" w:rsidP="00AB7AFA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  <w:t xml:space="preserve">       ____________________________________________   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</w:t>
      </w:r>
    </w:p>
    <w:p w:rsidR="00AB7AFA" w:rsidRDefault="00AB7AFA" w:rsidP="00AB7AF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имя, отчество</w:t>
      </w:r>
    </w:p>
    <w:p w:rsidR="00AB7AFA" w:rsidRDefault="00AB7AFA" w:rsidP="00AB7AFA">
      <w:pPr>
        <w:spacing w:after="0" w:line="240" w:lineRule="auto"/>
        <w:rPr>
          <w:rFonts w:ascii="Times New Roman" w:eastAsia="Times New Roman" w:hAnsi="Times New Roman"/>
          <w:sz w:val="16"/>
          <w:szCs w:val="18"/>
          <w:lang w:eastAsia="ru-RU"/>
        </w:rPr>
      </w:pPr>
    </w:p>
    <w:p w:rsidR="00AB7AFA" w:rsidRDefault="00AB7AFA" w:rsidP="00AB7AF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/>
          <w:sz w:val="30"/>
          <w:lang w:eastAsia="ru-RU"/>
        </w:rPr>
        <w:t>паспорт:</w:t>
      </w:r>
      <w:r>
        <w:rPr>
          <w:rFonts w:ascii="Times New Roman" w:eastAsia="Times New Roman" w:hAnsi="Times New Roman"/>
          <w:lang w:eastAsia="ru-RU"/>
        </w:rPr>
        <w:t>________________________________</w:t>
      </w:r>
    </w:p>
    <w:p w:rsidR="00AB7AFA" w:rsidRDefault="00AB7AFA" w:rsidP="00AB7AFA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серия, номер</w:t>
      </w:r>
    </w:p>
    <w:p w:rsidR="00AB7AFA" w:rsidRDefault="00AB7AFA" w:rsidP="00AB7A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______________________________________________</w:t>
      </w:r>
    </w:p>
    <w:p w:rsidR="00AB7AFA" w:rsidRDefault="00AB7AFA" w:rsidP="00AB7AF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когда и кем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выдан</w:t>
      </w:r>
      <w:proofErr w:type="gramEnd"/>
    </w:p>
    <w:p w:rsidR="00AB7AFA" w:rsidRDefault="00AB7AFA" w:rsidP="00AB7A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7AFA" w:rsidRDefault="00AB7AFA" w:rsidP="00AB7AFA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20"/>
          <w:szCs w:val="18"/>
          <w:lang w:eastAsia="ru-RU"/>
        </w:rPr>
        <w:t xml:space="preserve">          </w:t>
      </w:r>
      <w:proofErr w:type="gramStart"/>
      <w:r>
        <w:rPr>
          <w:rFonts w:ascii="Times New Roman" w:eastAsia="Times New Roman" w:hAnsi="Times New Roman"/>
          <w:sz w:val="30"/>
          <w:lang w:eastAsia="ru-RU"/>
        </w:rPr>
        <w:t>проживающего</w:t>
      </w:r>
      <w:proofErr w:type="gramEnd"/>
      <w:r>
        <w:rPr>
          <w:rFonts w:ascii="Times New Roman" w:eastAsia="Times New Roman" w:hAnsi="Times New Roman"/>
          <w:sz w:val="30"/>
          <w:lang w:eastAsia="ru-RU"/>
        </w:rPr>
        <w:t xml:space="preserve"> (ей) по адресу:</w:t>
      </w:r>
    </w:p>
    <w:p w:rsidR="00AB7AFA" w:rsidRDefault="00AB7AFA" w:rsidP="00AB7AFA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  <w:t xml:space="preserve">                   __________________________________________</w:t>
      </w:r>
    </w:p>
    <w:p w:rsidR="00AB7AFA" w:rsidRDefault="00AB7AFA" w:rsidP="00AB7AFA">
      <w:pPr>
        <w:spacing w:after="0" w:line="240" w:lineRule="auto"/>
        <w:rPr>
          <w:rFonts w:ascii="Times New Roman" w:eastAsia="Times New Roman" w:hAnsi="Times New Roman"/>
          <w:sz w:val="30"/>
          <w:lang w:eastAsia="ru-RU"/>
        </w:rPr>
      </w:pP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  <w:t xml:space="preserve">                    </w:t>
      </w:r>
      <w:r>
        <w:rPr>
          <w:rFonts w:ascii="Times New Roman" w:eastAsia="Times New Roman" w:hAnsi="Times New Roman"/>
          <w:sz w:val="30"/>
          <w:lang w:eastAsia="ru-RU"/>
        </w:rPr>
        <w:t>_______________________________</w:t>
      </w:r>
    </w:p>
    <w:p w:rsidR="00AB7AFA" w:rsidRDefault="00AB7AFA" w:rsidP="00AB7AFA">
      <w:pPr>
        <w:spacing w:after="0" w:line="240" w:lineRule="auto"/>
        <w:rPr>
          <w:rFonts w:ascii="Times New Roman" w:eastAsia="Times New Roman" w:hAnsi="Times New Roman"/>
          <w:sz w:val="30"/>
          <w:lang w:eastAsia="ru-RU"/>
        </w:rPr>
      </w:pPr>
      <w:r>
        <w:rPr>
          <w:rFonts w:ascii="Times New Roman" w:eastAsia="Times New Roman" w:hAnsi="Times New Roman"/>
          <w:sz w:val="30"/>
          <w:lang w:eastAsia="ru-RU"/>
        </w:rPr>
        <w:t xml:space="preserve">                                                     тел. ___________________________</w:t>
      </w:r>
    </w:p>
    <w:p w:rsidR="00AB7AFA" w:rsidRDefault="00AB7AFA" w:rsidP="00AB7AF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B7AFA" w:rsidRDefault="00AB7AFA" w:rsidP="00AB7AFA">
      <w:pPr>
        <w:spacing w:after="0" w:line="240" w:lineRule="auto"/>
        <w:jc w:val="both"/>
        <w:rPr>
          <w:rFonts w:ascii="Times New Roman" w:eastAsia="Times New Roman" w:hAnsi="Times New Roman"/>
          <w:sz w:val="26"/>
          <w:lang w:eastAsia="ru-RU"/>
        </w:rPr>
      </w:pPr>
    </w:p>
    <w:p w:rsidR="00AB7AFA" w:rsidRDefault="00AB7AFA" w:rsidP="00AB7AFA">
      <w:pPr>
        <w:spacing w:after="0" w:line="240" w:lineRule="auto"/>
        <w:jc w:val="both"/>
        <w:rPr>
          <w:rFonts w:ascii="Times New Roman" w:eastAsia="Times New Roman" w:hAnsi="Times New Roman"/>
          <w:sz w:val="30"/>
          <w:lang w:eastAsia="ru-RU"/>
        </w:rPr>
      </w:pPr>
      <w:r>
        <w:rPr>
          <w:rFonts w:ascii="Times New Roman" w:eastAsia="Times New Roman" w:hAnsi="Times New Roman"/>
          <w:sz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lang w:eastAsia="ru-RU"/>
        </w:rPr>
        <w:tab/>
        <w:t xml:space="preserve">    </w:t>
      </w:r>
      <w:r>
        <w:rPr>
          <w:rFonts w:ascii="Times New Roman" w:eastAsia="Times New Roman" w:hAnsi="Times New Roman"/>
          <w:sz w:val="30"/>
          <w:lang w:eastAsia="ru-RU"/>
        </w:rPr>
        <w:t>Прошу Полоцкий райисполком приобрести жилое помещение (часть, долю в праве собственности) по адресу:</w:t>
      </w:r>
    </w:p>
    <w:p w:rsidR="00AB7AFA" w:rsidRDefault="00AB7AFA" w:rsidP="00AB7AFA">
      <w:pPr>
        <w:spacing w:after="0" w:line="240" w:lineRule="auto"/>
        <w:jc w:val="both"/>
        <w:rPr>
          <w:rFonts w:ascii="Times New Roman" w:eastAsia="Times New Roman" w:hAnsi="Times New Roman"/>
          <w:sz w:val="30"/>
          <w:lang w:eastAsia="ru-RU"/>
        </w:rPr>
      </w:pPr>
      <w:r>
        <w:rPr>
          <w:rFonts w:ascii="Times New Roman" w:eastAsia="Times New Roman" w:hAnsi="Times New Roman"/>
          <w:sz w:val="30"/>
          <w:lang w:eastAsia="ru-RU"/>
        </w:rPr>
        <w:t xml:space="preserve">_____________________________________________________________, </w:t>
      </w:r>
    </w:p>
    <w:p w:rsidR="00AB7AFA" w:rsidRDefault="00AB7AFA" w:rsidP="00AB7AFA">
      <w:pPr>
        <w:spacing w:after="0" w:line="240" w:lineRule="auto"/>
        <w:jc w:val="both"/>
        <w:rPr>
          <w:rFonts w:ascii="Times New Roman" w:eastAsia="Times New Roman" w:hAnsi="Times New Roman"/>
          <w:sz w:val="30"/>
          <w:lang w:eastAsia="ru-RU"/>
        </w:rPr>
      </w:pPr>
      <w:proofErr w:type="gramStart"/>
      <w:r>
        <w:rPr>
          <w:rFonts w:ascii="Times New Roman" w:eastAsia="Times New Roman" w:hAnsi="Times New Roman"/>
          <w:sz w:val="30"/>
          <w:lang w:eastAsia="ru-RU"/>
        </w:rPr>
        <w:t>построенное (реконструированное, приобретенное) с использованием льготного кредита в течение пяти лет со дня досрочного погашения этого кредита.</w:t>
      </w:r>
      <w:proofErr w:type="gramEnd"/>
    </w:p>
    <w:p w:rsidR="00AB7AFA" w:rsidRDefault="00AB7AFA" w:rsidP="00AB7AFA">
      <w:pPr>
        <w:spacing w:after="0" w:line="240" w:lineRule="auto"/>
        <w:jc w:val="both"/>
        <w:rPr>
          <w:rFonts w:ascii="Times New Roman" w:eastAsia="Times New Roman" w:hAnsi="Times New Roman"/>
          <w:sz w:val="30"/>
          <w:lang w:eastAsia="ru-RU"/>
        </w:rPr>
      </w:pPr>
      <w:r>
        <w:rPr>
          <w:rFonts w:ascii="Times New Roman" w:eastAsia="Times New Roman" w:hAnsi="Times New Roman"/>
          <w:sz w:val="30"/>
          <w:lang w:eastAsia="ru-RU"/>
        </w:rPr>
        <w:tab/>
        <w:t xml:space="preserve">    В случае отказа прошу разрешить продажу (дарение, обмен) жилого помещения (части, доли в праве собственности) по адресу:</w:t>
      </w:r>
    </w:p>
    <w:p w:rsidR="00AB7AFA" w:rsidRDefault="00AB7AFA" w:rsidP="00AB7AFA">
      <w:pPr>
        <w:spacing w:after="0" w:line="240" w:lineRule="auto"/>
        <w:jc w:val="both"/>
        <w:rPr>
          <w:rFonts w:ascii="Times New Roman" w:eastAsia="Times New Roman" w:hAnsi="Times New Roman"/>
          <w:sz w:val="8"/>
          <w:u w:val="single"/>
          <w:lang w:eastAsia="ru-RU"/>
        </w:rPr>
      </w:pPr>
    </w:p>
    <w:p w:rsidR="00AB7AFA" w:rsidRDefault="00AB7AFA" w:rsidP="00AB7AFA">
      <w:pPr>
        <w:spacing w:after="0" w:line="240" w:lineRule="auto"/>
        <w:jc w:val="both"/>
        <w:rPr>
          <w:rFonts w:ascii="Times New Roman" w:eastAsia="Times New Roman" w:hAnsi="Times New Roman"/>
          <w:sz w:val="8"/>
          <w:u w:val="single"/>
          <w:lang w:eastAsia="ru-RU"/>
        </w:rPr>
      </w:pPr>
      <w:r>
        <w:rPr>
          <w:rFonts w:ascii="Times New Roman" w:eastAsia="Times New Roman" w:hAnsi="Times New Roman"/>
          <w:sz w:val="8"/>
          <w:u w:val="single"/>
          <w:lang w:eastAsia="ru-RU"/>
        </w:rPr>
        <w:t>______________________________________________________________________________________________________________________________________________________________________________________________________________,</w:t>
      </w:r>
    </w:p>
    <w:p w:rsidR="00AB7AFA" w:rsidRDefault="00AB7AFA" w:rsidP="00AB7AFA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в связи </w:t>
      </w:r>
      <w:proofErr w:type="gramStart"/>
      <w:r>
        <w:rPr>
          <w:rFonts w:ascii="Times New Roman" w:eastAsia="Times New Roman" w:hAnsi="Times New Roman"/>
          <w:lang w:eastAsia="ru-RU"/>
        </w:rPr>
        <w:t>с</w:t>
      </w:r>
      <w:proofErr w:type="gramEnd"/>
      <w:r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</w:p>
    <w:p w:rsidR="00AB7AFA" w:rsidRDefault="00AB7AFA" w:rsidP="00AB7AFA">
      <w:pPr>
        <w:spacing w:after="0" w:line="240" w:lineRule="auto"/>
        <w:jc w:val="both"/>
        <w:rPr>
          <w:rFonts w:ascii="Times New Roman" w:eastAsia="Times New Roman" w:hAnsi="Times New Roman"/>
          <w:sz w:val="30"/>
          <w:lang w:eastAsia="ru-RU"/>
        </w:rPr>
      </w:pPr>
      <w:r>
        <w:rPr>
          <w:rFonts w:ascii="Times New Roman" w:eastAsia="Times New Roman" w:hAnsi="Times New Roman"/>
          <w:sz w:val="30"/>
          <w:lang w:eastAsia="ru-RU"/>
        </w:rPr>
        <w:t>____________________________________________________________________________________________________________________________</w:t>
      </w:r>
    </w:p>
    <w:p w:rsidR="00AB7AFA" w:rsidRDefault="00AB7AFA" w:rsidP="00AB7AFA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(переездом на постоянное место жительства в другой населенный пункт, расторжением брака, смертью собственника жилья и др.)</w:t>
      </w:r>
    </w:p>
    <w:p w:rsidR="00AB7AFA" w:rsidRDefault="00AB7AFA" w:rsidP="00AB7AFA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B7AFA" w:rsidRDefault="00AB7AFA" w:rsidP="00AB7AFA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B7AFA" w:rsidRDefault="00AB7AFA" w:rsidP="00AB7AF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B7AFA" w:rsidRDefault="00AB7AFA" w:rsidP="00AB7AFA">
      <w:pPr>
        <w:spacing w:after="0" w:line="240" w:lineRule="auto"/>
        <w:rPr>
          <w:rFonts w:ascii="Times New Roman" w:eastAsia="Times New Roman" w:hAnsi="Times New Roman"/>
          <w:color w:val="000000"/>
          <w:szCs w:val="30"/>
          <w:lang w:eastAsia="ru-RU"/>
        </w:rPr>
      </w:pPr>
      <w:r>
        <w:rPr>
          <w:rFonts w:ascii="Times New Roman" w:eastAsia="Times New Roman" w:hAnsi="Times New Roman"/>
          <w:color w:val="000000"/>
          <w:szCs w:val="30"/>
          <w:lang w:eastAsia="ru-RU"/>
        </w:rPr>
        <w:t>__________________</w:t>
      </w:r>
      <w:r>
        <w:rPr>
          <w:rFonts w:ascii="Times New Roman" w:eastAsia="Times New Roman" w:hAnsi="Times New Roman"/>
          <w:color w:val="000000"/>
          <w:szCs w:val="30"/>
          <w:lang w:eastAsia="ru-RU"/>
        </w:rPr>
        <w:tab/>
      </w:r>
      <w:r>
        <w:rPr>
          <w:rFonts w:ascii="Times New Roman" w:eastAsia="Times New Roman" w:hAnsi="Times New Roman"/>
          <w:color w:val="000000"/>
          <w:szCs w:val="30"/>
          <w:lang w:eastAsia="ru-RU"/>
        </w:rPr>
        <w:tab/>
      </w:r>
      <w:r>
        <w:rPr>
          <w:rFonts w:ascii="Times New Roman" w:eastAsia="Times New Roman" w:hAnsi="Times New Roman"/>
          <w:color w:val="000000"/>
          <w:szCs w:val="30"/>
          <w:lang w:eastAsia="ru-RU"/>
        </w:rPr>
        <w:tab/>
      </w:r>
      <w:r>
        <w:rPr>
          <w:rFonts w:ascii="Times New Roman" w:eastAsia="Times New Roman" w:hAnsi="Times New Roman"/>
          <w:color w:val="000000"/>
          <w:szCs w:val="30"/>
          <w:lang w:eastAsia="ru-RU"/>
        </w:rPr>
        <w:tab/>
      </w:r>
      <w:r>
        <w:rPr>
          <w:rFonts w:ascii="Times New Roman" w:eastAsia="Times New Roman" w:hAnsi="Times New Roman"/>
          <w:color w:val="000000"/>
          <w:szCs w:val="30"/>
          <w:lang w:eastAsia="ru-RU"/>
        </w:rPr>
        <w:tab/>
      </w:r>
      <w:r>
        <w:rPr>
          <w:rFonts w:ascii="Times New Roman" w:eastAsia="Times New Roman" w:hAnsi="Times New Roman"/>
          <w:color w:val="000000"/>
          <w:szCs w:val="30"/>
          <w:lang w:eastAsia="ru-RU"/>
        </w:rPr>
        <w:tab/>
        <w:t>_____________________</w:t>
      </w:r>
    </w:p>
    <w:p w:rsidR="00AB7AFA" w:rsidRDefault="00AB7AFA" w:rsidP="00AB7AFA">
      <w:pPr>
        <w:spacing w:after="0" w:line="240" w:lineRule="auto"/>
        <w:rPr>
          <w:rFonts w:eastAsia="Times New Roman"/>
          <w:lang w:eastAsia="ru-RU"/>
        </w:rPr>
      </w:pP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         </w:t>
      </w:r>
      <w:r>
        <w:rPr>
          <w:rFonts w:ascii="Times New Roman" w:eastAsia="Times New Roman" w:hAnsi="Times New Roman"/>
          <w:color w:val="000000"/>
          <w:sz w:val="26"/>
          <w:szCs w:val="30"/>
          <w:lang w:eastAsia="ru-RU"/>
        </w:rPr>
        <w:t>дата                                                                                подпись</w:t>
      </w:r>
    </w:p>
    <w:p w:rsidR="00AB7AFA" w:rsidRDefault="00AB7AFA" w:rsidP="00AB7AFA">
      <w:pPr>
        <w:rPr>
          <w:rFonts w:eastAsia="Times New Roman"/>
          <w:lang w:eastAsia="ru-RU"/>
        </w:rPr>
      </w:pPr>
    </w:p>
    <w:p w:rsidR="00AB7AFA" w:rsidRDefault="00AB7AFA" w:rsidP="00AB7AFA">
      <w:pPr>
        <w:rPr>
          <w:rFonts w:eastAsia="Times New Roman"/>
          <w:lang w:eastAsia="ru-RU"/>
        </w:rPr>
      </w:pPr>
    </w:p>
    <w:p w:rsidR="00AB7AFA" w:rsidRDefault="00AB7AFA" w:rsidP="00AB7AFA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3A24FF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514"/>
    <w:rsid w:val="007A3950"/>
    <w:rsid w:val="00A874C9"/>
    <w:rsid w:val="00AB7AFA"/>
    <w:rsid w:val="00BA7E85"/>
    <w:rsid w:val="00E1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A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B7AFA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A87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A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B7AFA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A87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9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4</cp:revision>
  <dcterms:created xsi:type="dcterms:W3CDTF">2020-04-03T13:17:00Z</dcterms:created>
  <dcterms:modified xsi:type="dcterms:W3CDTF">2020-04-03T13:25:00Z</dcterms:modified>
</cp:coreProperties>
</file>